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D" w:rsidRPr="00BD027D" w:rsidRDefault="00BD027D" w:rsidP="00BD027D">
      <w:pPr>
        <w:ind w:firstLine="540"/>
        <w:jc w:val="right"/>
        <w:rPr>
          <w:rFonts w:eastAsia="Times New Roman" w:cs="Times New Roman"/>
          <w:b/>
          <w:bCs/>
          <w:lang w:eastAsia="ru-RU"/>
        </w:rPr>
      </w:pPr>
      <w:r w:rsidRPr="00BD027D">
        <w:rPr>
          <w:rFonts w:eastAsia="Times New Roman" w:cs="Times New Roman"/>
          <w:b/>
          <w:bCs/>
          <w:lang w:eastAsia="ru-RU"/>
        </w:rPr>
        <w:t>В СМИ</w:t>
      </w:r>
    </w:p>
    <w:p w:rsidR="00BD027D" w:rsidRPr="00BD027D" w:rsidRDefault="00BD027D" w:rsidP="00BD027D">
      <w:pPr>
        <w:ind w:firstLine="540"/>
        <w:rPr>
          <w:rFonts w:eastAsia="Times New Roman" w:cs="Times New Roman"/>
          <w:b/>
          <w:bCs/>
          <w:lang w:eastAsia="ru-RU"/>
        </w:rPr>
      </w:pPr>
    </w:p>
    <w:p w:rsidR="00BD027D" w:rsidRPr="00BD027D" w:rsidRDefault="00BD027D" w:rsidP="00BD027D">
      <w:pPr>
        <w:ind w:firstLine="540"/>
        <w:rPr>
          <w:rFonts w:eastAsia="Times New Roman" w:cs="Times New Roman"/>
          <w:b/>
          <w:bCs/>
          <w:lang w:eastAsia="ru-RU"/>
        </w:rPr>
      </w:pP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b/>
          <w:bCs/>
          <w:lang w:eastAsia="ru-RU"/>
        </w:rPr>
        <w:t>Скорректирован порядок банкротства застройщиков</w:t>
      </w:r>
    </w:p>
    <w:p w:rsidR="00BD027D" w:rsidRPr="00BD027D" w:rsidRDefault="00BD027D" w:rsidP="00BD027D">
      <w:pPr>
        <w:ind w:firstLine="540"/>
        <w:rPr>
          <w:rFonts w:eastAsia="Times New Roman" w:cs="Times New Roman"/>
          <w:lang w:eastAsia="ru-RU"/>
        </w:rPr>
      </w:pP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 xml:space="preserve">Прокуратура </w:t>
      </w:r>
      <w:proofErr w:type="spellStart"/>
      <w:r w:rsidRPr="00BD027D">
        <w:rPr>
          <w:rFonts w:eastAsia="Times New Roman" w:cs="Times New Roman"/>
          <w:lang w:eastAsia="ru-RU"/>
        </w:rPr>
        <w:t>Лахденпохского</w:t>
      </w:r>
      <w:proofErr w:type="spellEnd"/>
      <w:r w:rsidRPr="00BD027D">
        <w:rPr>
          <w:rFonts w:eastAsia="Times New Roman" w:cs="Times New Roman"/>
          <w:lang w:eastAsia="ru-RU"/>
        </w:rPr>
        <w:t xml:space="preserve"> района информирует, что в Федеральный закон от 26.11.202 № 127-ФЗ «О несостоятельности (банкротстве)» внесены изменения, касающиеся банкротства застройщиков.</w:t>
      </w: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Так, уточняются условия аккредитации Фондом защиты прав граждан - участников долевого строительства (далее - Фонд) арбитражных управляющих в качестве конкурсных управляющих (внешних управляющих) при банкротстве застройщика. Одним из таких условий теперь является прохождение обучения по утвержденной Фондом программе. Снижаются требования к стажу работы, а также к сроку отсутствия нарушений законодательства о банкротстве.</w:t>
      </w: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Предусматривается, что при подаче заявления Фондом в случае аннулирования аккредитации или отказа в ее продлении арбитражный суд отстраняет арбитражного управляющего от исполнения обязанностей в деле о банкротстве застройщика и утверждает арбитражного управляющего, указанного в заявлении Фонда. В течение одного года с даты аннулирования Фондом аккредитации арбитражный управляющий не может быть аккредитован Фондом.</w:t>
      </w: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В случае отсутствия у застройщика средств, достаточных для погашения судебных расходов, расходов на выплату вознаграждения арбитражным управляющим и оплату услуг привлекаемых ими лиц, Фонд вправе обратиться в арбитражный суд, рассматривающий дело о банкротстве, с ходатайством об утверждении состава и предельного размера указанных расходов, которые подлежат финансированию за счет имущества Фонда с последующим возмещением из конкурсной массы.</w:t>
      </w: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В целях произведения расчетов с участниками строительства требования участников строительства к застройщику о передаче жилых помещений (</w:t>
      </w:r>
      <w:proofErr w:type="spellStart"/>
      <w:r w:rsidRPr="00BD027D">
        <w:rPr>
          <w:rFonts w:eastAsia="Times New Roman" w:cs="Times New Roman"/>
          <w:lang w:eastAsia="ru-RU"/>
        </w:rPr>
        <w:t>машино-мест</w:t>
      </w:r>
      <w:proofErr w:type="spellEnd"/>
      <w:r w:rsidRPr="00BD027D">
        <w:rPr>
          <w:rFonts w:eastAsia="Times New Roman" w:cs="Times New Roman"/>
          <w:lang w:eastAsia="ru-RU"/>
        </w:rPr>
        <w:t>, нежилых помещений) преобразовываются в денежные требования со дня принятия Фондом решения о финансировании мероприятий по выплате возмещения гражданам. В указанном случае договор, предусматривающий передачу жилого помещения (</w:t>
      </w:r>
      <w:proofErr w:type="spellStart"/>
      <w:r w:rsidRPr="00BD027D">
        <w:rPr>
          <w:rFonts w:eastAsia="Times New Roman" w:cs="Times New Roman"/>
          <w:lang w:eastAsia="ru-RU"/>
        </w:rPr>
        <w:t>машино-места</w:t>
      </w:r>
      <w:proofErr w:type="spellEnd"/>
      <w:r w:rsidRPr="00BD027D">
        <w:rPr>
          <w:rFonts w:eastAsia="Times New Roman" w:cs="Times New Roman"/>
          <w:lang w:eastAsia="ru-RU"/>
        </w:rPr>
        <w:t>, нежилого помещения), считается прекращенными. Заявление об одностороннем отказе участника строительства от исполнения указанных договоров не требуется.</w:t>
      </w:r>
    </w:p>
    <w:p w:rsidR="00BD027D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В случае, если приобретателем имущества и обязательств застройщика является Фонд или Фонд субъекта РФ, заявление о намерении подлежит рассмотрению арбитражным судом в течение 5 рабочих дней со дня представления необходимых сведений. Арбитражный суд вместе с определением об удовлетворении заявления о намерении, приобретателем по которому является Фонд или Фонд субъекта РФ, выносит определение о передаче такому приобретателю имущества и обязательств застройщика.</w:t>
      </w:r>
    </w:p>
    <w:p w:rsidR="00422221" w:rsidRPr="00BD027D" w:rsidRDefault="00BD027D" w:rsidP="00BD027D">
      <w:pPr>
        <w:ind w:firstLine="540"/>
        <w:rPr>
          <w:rFonts w:ascii="Verdana" w:eastAsia="Times New Roman" w:hAnsi="Verdana" w:cs="Times New Roman"/>
          <w:lang w:eastAsia="ru-RU"/>
        </w:rPr>
      </w:pPr>
      <w:r w:rsidRPr="00BD027D">
        <w:rPr>
          <w:rFonts w:eastAsia="Times New Roman" w:cs="Times New Roman"/>
          <w:lang w:eastAsia="ru-RU"/>
        </w:rPr>
        <w:t>Регламентирован порядок передачи Фонду прав застройщика на земельный участок с находящимися на нем неотделимыми улучшениями в случае выплаты возмещения участникам строительства.</w:t>
      </w:r>
      <w:bookmarkStart w:id="0" w:name="_GoBack"/>
      <w:bookmarkEnd w:id="0"/>
    </w:p>
    <w:sectPr w:rsidR="00422221" w:rsidRPr="00BD027D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2287"/>
    <w:rsid w:val="000E25C0"/>
    <w:rsid w:val="001809EE"/>
    <w:rsid w:val="00422221"/>
    <w:rsid w:val="00B1304B"/>
    <w:rsid w:val="00BD027D"/>
    <w:rsid w:val="00D347A9"/>
    <w:rsid w:val="00EF2287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Ильмаст Александр Николаевич</dc:creator>
  <cp:lastModifiedBy>Ruslan</cp:lastModifiedBy>
  <cp:revision>2</cp:revision>
  <dcterms:created xsi:type="dcterms:W3CDTF">2020-12-15T06:18:00Z</dcterms:created>
  <dcterms:modified xsi:type="dcterms:W3CDTF">2020-12-15T06:18:00Z</dcterms:modified>
</cp:coreProperties>
</file>